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EC09" w14:textId="566F306D" w:rsidR="00096915" w:rsidRDefault="000C2790" w:rsidP="00304872">
      <w:pPr>
        <w:spacing w:after="0" w:line="240" w:lineRule="auto"/>
        <w:jc w:val="both"/>
        <w:rPr>
          <w:rFonts w:ascii="Calibri" w:hAnsi="Calibri" w:cs="Calibri"/>
          <w:b/>
          <w:sz w:val="24"/>
          <w:szCs w:val="24"/>
        </w:rPr>
      </w:pPr>
      <w:r>
        <w:rPr>
          <w:rFonts w:ascii="Arial" w:hAnsi="Arial" w:cs="Arial"/>
          <w:noProof/>
          <w:color w:val="000000"/>
          <w:sz w:val="13"/>
          <w:szCs w:val="13"/>
        </w:rPr>
        <w:drawing>
          <wp:anchor distT="0" distB="0" distL="114300" distR="114300" simplePos="0" relativeHeight="251764736" behindDoc="1" locked="0" layoutInCell="1" allowOverlap="1" wp14:anchorId="53DE56EE" wp14:editId="5CCBA6D4">
            <wp:simplePos x="0" y="0"/>
            <wp:positionH relativeFrom="column">
              <wp:posOffset>1517650</wp:posOffset>
            </wp:positionH>
            <wp:positionV relativeFrom="paragraph">
              <wp:posOffset>-313690</wp:posOffset>
            </wp:positionV>
            <wp:extent cx="2378710" cy="868045"/>
            <wp:effectExtent l="0" t="0" r="2540" b="8255"/>
            <wp:wrapNone/>
            <wp:docPr id="221032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78710" cy="868045"/>
                    </a:xfrm>
                    <a:prstGeom prst="rect">
                      <a:avLst/>
                    </a:prstGeom>
                    <a:noFill/>
                    <a:ln>
                      <a:noFill/>
                    </a:ln>
                  </pic:spPr>
                </pic:pic>
              </a:graphicData>
            </a:graphic>
          </wp:anchor>
        </w:drawing>
      </w:r>
    </w:p>
    <w:p w14:paraId="4E504185" w14:textId="77777777" w:rsidR="00096915" w:rsidRDefault="00096915" w:rsidP="00304872">
      <w:pPr>
        <w:spacing w:after="0" w:line="240" w:lineRule="auto"/>
        <w:jc w:val="both"/>
        <w:rPr>
          <w:rFonts w:ascii="Calibri" w:hAnsi="Calibri" w:cs="Calibri"/>
          <w:b/>
          <w:sz w:val="24"/>
          <w:szCs w:val="24"/>
        </w:rPr>
      </w:pPr>
    </w:p>
    <w:p w14:paraId="7C39A646" w14:textId="77777777" w:rsidR="00096915" w:rsidRDefault="00096915" w:rsidP="00304872">
      <w:pPr>
        <w:spacing w:after="0" w:line="240" w:lineRule="auto"/>
        <w:jc w:val="both"/>
        <w:rPr>
          <w:rFonts w:ascii="Calibri" w:hAnsi="Calibri" w:cs="Calibri"/>
          <w:b/>
          <w:sz w:val="24"/>
          <w:szCs w:val="24"/>
        </w:rPr>
      </w:pPr>
    </w:p>
    <w:p w14:paraId="00E734C9" w14:textId="4A01C0A1" w:rsidR="006D7F8B" w:rsidRPr="00E04675" w:rsidRDefault="00E04675" w:rsidP="000C2790">
      <w:pPr>
        <w:rPr>
          <w:rFonts w:ascii="Calibri" w:hAnsi="Calibri" w:cs="Calibri"/>
          <w:b/>
        </w:rPr>
      </w:pPr>
      <w:r w:rsidRPr="00E04675">
        <w:rPr>
          <w:rFonts w:ascii="Calibri" w:hAnsi="Calibri" w:cs="Calibri"/>
          <w:b/>
        </w:rPr>
        <w:t>January 2025</w:t>
      </w:r>
    </w:p>
    <w:p w14:paraId="066FE734" w14:textId="77777777" w:rsidR="0093368B" w:rsidRPr="00E04675" w:rsidRDefault="0093368B" w:rsidP="00A665A2">
      <w:pPr>
        <w:spacing w:after="0" w:line="240" w:lineRule="auto"/>
        <w:rPr>
          <w:rFonts w:ascii="Calibri" w:hAnsi="Calibri" w:cs="Calibri"/>
          <w:b/>
        </w:rPr>
      </w:pPr>
      <w:r w:rsidRPr="00E04675">
        <w:rPr>
          <w:rFonts w:ascii="Calibri" w:hAnsi="Calibri" w:cs="Calibri"/>
          <w:b/>
        </w:rPr>
        <w:t xml:space="preserve">What is the Gender Pay Gap? </w:t>
      </w:r>
    </w:p>
    <w:p w14:paraId="0E056C11" w14:textId="77777777" w:rsidR="0093368B" w:rsidRPr="00E04675" w:rsidRDefault="0093368B" w:rsidP="00304872">
      <w:pPr>
        <w:spacing w:after="0" w:line="240" w:lineRule="auto"/>
        <w:jc w:val="both"/>
        <w:rPr>
          <w:rFonts w:ascii="Calibri" w:hAnsi="Calibri" w:cs="Calibri"/>
          <w:b/>
        </w:rPr>
      </w:pPr>
    </w:p>
    <w:p w14:paraId="010F882B" w14:textId="77777777" w:rsidR="0093368B" w:rsidRPr="00E04675" w:rsidRDefault="0093368B" w:rsidP="00304872">
      <w:pPr>
        <w:spacing w:after="0" w:line="240" w:lineRule="auto"/>
        <w:jc w:val="both"/>
        <w:rPr>
          <w:rFonts w:ascii="Calibri" w:hAnsi="Calibri" w:cs="Calibri"/>
        </w:rPr>
      </w:pPr>
      <w:r w:rsidRPr="00E04675">
        <w:rPr>
          <w:rFonts w:ascii="Calibri" w:hAnsi="Calibri" w:cs="Calibri"/>
        </w:rPr>
        <w:t xml:space="preserve">It is a legal requirement for all relevant employers to publish their gender pay report. </w:t>
      </w:r>
    </w:p>
    <w:p w14:paraId="4BE791BE" w14:textId="77777777" w:rsidR="0093368B" w:rsidRPr="00E04675" w:rsidRDefault="0093368B" w:rsidP="00304872">
      <w:pPr>
        <w:spacing w:after="0" w:line="240" w:lineRule="auto"/>
        <w:jc w:val="both"/>
        <w:rPr>
          <w:rFonts w:ascii="Calibri" w:hAnsi="Calibri" w:cs="Calibri"/>
        </w:rPr>
      </w:pPr>
    </w:p>
    <w:p w14:paraId="0DCF01BD" w14:textId="77777777" w:rsidR="0093368B" w:rsidRPr="00E04675" w:rsidRDefault="0093368B" w:rsidP="00304872">
      <w:pPr>
        <w:spacing w:after="0" w:line="240" w:lineRule="auto"/>
        <w:jc w:val="both"/>
        <w:rPr>
          <w:rFonts w:ascii="Calibri" w:hAnsi="Calibri" w:cs="Calibri"/>
        </w:rPr>
      </w:pPr>
      <w:r w:rsidRPr="00E04675">
        <w:rPr>
          <w:rFonts w:ascii="Calibri" w:hAnsi="Calibri" w:cs="Calibri"/>
        </w:rPr>
        <w:t xml:space="preserve">The gender </w:t>
      </w:r>
      <w:proofErr w:type="gramStart"/>
      <w:r w:rsidRPr="00E04675">
        <w:rPr>
          <w:rFonts w:ascii="Calibri" w:hAnsi="Calibri" w:cs="Calibri"/>
        </w:rPr>
        <w:t>pay</w:t>
      </w:r>
      <w:proofErr w:type="gramEnd"/>
      <w:r w:rsidRPr="00E04675">
        <w:rPr>
          <w:rFonts w:ascii="Calibri" w:hAnsi="Calibri" w:cs="Calibri"/>
        </w:rPr>
        <w:t xml:space="preserve"> gap shows the difference between the average (mean or median) earnings of men and women. This is expressed as a percentage of men’s earnings e.g. women earn 15% less than men. Used to its full potential, gender pay gap reporting is a valuable tool for assessing levels of equality in the workplace, female and male participation, and how effectively talent is being maximised</w:t>
      </w:r>
      <w:r w:rsidR="00A665A2" w:rsidRPr="00E04675">
        <w:rPr>
          <w:rFonts w:ascii="Calibri" w:hAnsi="Calibri" w:cs="Calibri"/>
        </w:rPr>
        <w:t>.</w:t>
      </w:r>
      <w:r w:rsidRPr="00E04675">
        <w:rPr>
          <w:rFonts w:ascii="Calibri" w:hAnsi="Calibri" w:cs="Calibri"/>
        </w:rPr>
        <w:t xml:space="preserve"> </w:t>
      </w:r>
    </w:p>
    <w:p w14:paraId="59827B30" w14:textId="77777777" w:rsidR="0093368B" w:rsidRPr="00E04675" w:rsidRDefault="0093368B" w:rsidP="00304872">
      <w:pPr>
        <w:spacing w:after="0" w:line="240" w:lineRule="auto"/>
        <w:jc w:val="both"/>
        <w:rPr>
          <w:rFonts w:ascii="Calibri" w:hAnsi="Calibri" w:cs="Calibri"/>
        </w:rPr>
      </w:pPr>
    </w:p>
    <w:p w14:paraId="7DBCBDDF" w14:textId="77777777" w:rsidR="0093368B" w:rsidRPr="00E04675" w:rsidRDefault="0093368B" w:rsidP="00304872">
      <w:pPr>
        <w:spacing w:after="0" w:line="240" w:lineRule="auto"/>
        <w:jc w:val="both"/>
        <w:rPr>
          <w:rFonts w:ascii="Calibri" w:hAnsi="Calibri" w:cs="Calibri"/>
          <w:b/>
        </w:rPr>
      </w:pPr>
      <w:r w:rsidRPr="00E04675">
        <w:rPr>
          <w:rFonts w:ascii="Calibri" w:hAnsi="Calibri" w:cs="Calibri"/>
          <w:b/>
        </w:rPr>
        <w:t xml:space="preserve">What does this mean for </w:t>
      </w:r>
      <w:proofErr w:type="spellStart"/>
      <w:r w:rsidRPr="00E04675">
        <w:rPr>
          <w:rFonts w:ascii="Calibri" w:hAnsi="Calibri" w:cs="Calibri"/>
          <w:b/>
        </w:rPr>
        <w:t>CHoICE</w:t>
      </w:r>
      <w:proofErr w:type="spellEnd"/>
      <w:r w:rsidRPr="00E04675">
        <w:rPr>
          <w:rFonts w:ascii="Calibri" w:hAnsi="Calibri" w:cs="Calibri"/>
          <w:b/>
        </w:rPr>
        <w:t xml:space="preserve">? </w:t>
      </w:r>
    </w:p>
    <w:p w14:paraId="4CCD0142" w14:textId="77777777" w:rsidR="0093368B" w:rsidRPr="00E04675" w:rsidRDefault="0093368B" w:rsidP="00304872">
      <w:pPr>
        <w:spacing w:after="0" w:line="240" w:lineRule="auto"/>
        <w:jc w:val="both"/>
        <w:rPr>
          <w:rFonts w:ascii="Calibri" w:hAnsi="Calibri" w:cs="Calibri"/>
        </w:rPr>
      </w:pPr>
    </w:p>
    <w:p w14:paraId="6FB61485" w14:textId="77777777" w:rsidR="0093368B" w:rsidRPr="00E04675" w:rsidRDefault="0093368B" w:rsidP="00304872">
      <w:pPr>
        <w:spacing w:after="0" w:line="240" w:lineRule="auto"/>
        <w:jc w:val="both"/>
        <w:rPr>
          <w:rFonts w:ascii="Calibri" w:hAnsi="Calibri" w:cs="Calibri"/>
        </w:rPr>
      </w:pPr>
      <w:r w:rsidRPr="00E04675">
        <w:rPr>
          <w:rFonts w:ascii="Calibri" w:hAnsi="Calibri" w:cs="Calibri"/>
        </w:rPr>
        <w:t xml:space="preserve">The report has shown a difference in pay between male and female staff overall. It is important to remember that gender pay gap reporting is different to equal pay as it shows the difference in the average pay between all men and all women in the workforce – not those with comparable roles. </w:t>
      </w:r>
      <w:r w:rsidRPr="00E04675">
        <w:rPr>
          <w:rFonts w:ascii="Calibri" w:hAnsi="Calibri" w:cs="Calibri"/>
          <w:u w:val="single"/>
        </w:rPr>
        <w:t xml:space="preserve">In </w:t>
      </w:r>
      <w:proofErr w:type="spellStart"/>
      <w:r w:rsidRPr="00E04675">
        <w:rPr>
          <w:rFonts w:ascii="Calibri" w:hAnsi="Calibri" w:cs="Calibri"/>
          <w:u w:val="single"/>
        </w:rPr>
        <w:t>CHoICE</w:t>
      </w:r>
      <w:proofErr w:type="spellEnd"/>
      <w:r w:rsidRPr="00E04675">
        <w:rPr>
          <w:rFonts w:ascii="Calibri" w:hAnsi="Calibri" w:cs="Calibri"/>
          <w:u w:val="single"/>
        </w:rPr>
        <w:t>, men and women in the same job are on the same pay-scale</w:t>
      </w:r>
      <w:r w:rsidR="00A665A2" w:rsidRPr="00E04675">
        <w:rPr>
          <w:rFonts w:ascii="Calibri" w:hAnsi="Calibri" w:cs="Calibri"/>
        </w:rPr>
        <w:t>.</w:t>
      </w:r>
      <w:r w:rsidRPr="00E04675">
        <w:rPr>
          <w:rFonts w:ascii="Calibri" w:hAnsi="Calibri" w:cs="Calibri"/>
        </w:rPr>
        <w:t xml:space="preserve"> </w:t>
      </w:r>
    </w:p>
    <w:p w14:paraId="373E2076" w14:textId="77777777" w:rsidR="0093368B" w:rsidRPr="00E04675" w:rsidRDefault="0093368B" w:rsidP="00304872">
      <w:pPr>
        <w:spacing w:after="0" w:line="240" w:lineRule="auto"/>
        <w:jc w:val="both"/>
        <w:rPr>
          <w:rFonts w:ascii="Calibri" w:hAnsi="Calibri" w:cs="Calibri"/>
        </w:rPr>
      </w:pPr>
    </w:p>
    <w:p w14:paraId="6570294E" w14:textId="112B702D" w:rsidR="0093368B" w:rsidRPr="00E04675" w:rsidRDefault="00230ABA" w:rsidP="00304872">
      <w:pPr>
        <w:spacing w:after="0" w:line="240" w:lineRule="auto"/>
        <w:jc w:val="both"/>
        <w:rPr>
          <w:rFonts w:ascii="Calibri" w:hAnsi="Calibri" w:cs="Calibri"/>
        </w:rPr>
      </w:pPr>
      <w:r w:rsidRPr="00E04675">
        <w:rPr>
          <w:rFonts w:ascii="Calibri" w:hAnsi="Calibri" w:cs="Calibri"/>
        </w:rPr>
        <w:t xml:space="preserve">Our Gender Pay Gap data has continuously </w:t>
      </w:r>
      <w:r w:rsidR="00B57628" w:rsidRPr="00E04675">
        <w:rPr>
          <w:rFonts w:ascii="Calibri" w:hAnsi="Calibri" w:cs="Calibri"/>
        </w:rPr>
        <w:t>improved</w:t>
      </w:r>
      <w:r w:rsidRPr="00E04675">
        <w:rPr>
          <w:rFonts w:ascii="Calibri" w:hAnsi="Calibri" w:cs="Calibri"/>
        </w:rPr>
        <w:t xml:space="preserve"> since 2018. </w:t>
      </w:r>
      <w:r w:rsidR="00413773" w:rsidRPr="00E04675">
        <w:rPr>
          <w:rFonts w:ascii="Calibri" w:hAnsi="Calibri" w:cs="Calibri"/>
        </w:rPr>
        <w:t>Whilst o</w:t>
      </w:r>
      <w:r w:rsidR="0093368B" w:rsidRPr="00E04675">
        <w:rPr>
          <w:rFonts w:ascii="Calibri" w:hAnsi="Calibri" w:cs="Calibri"/>
        </w:rPr>
        <w:t xml:space="preserve">ur </w:t>
      </w:r>
      <w:r w:rsidR="005575B3" w:rsidRPr="00E04675">
        <w:rPr>
          <w:rFonts w:ascii="Calibri" w:hAnsi="Calibri" w:cs="Calibri"/>
        </w:rPr>
        <w:t>median</w:t>
      </w:r>
      <w:r w:rsidR="00413773" w:rsidRPr="00E04675">
        <w:rPr>
          <w:rFonts w:ascii="Calibri" w:hAnsi="Calibri" w:cs="Calibri"/>
        </w:rPr>
        <w:t xml:space="preserve"> </w:t>
      </w:r>
      <w:r w:rsidR="0093368B" w:rsidRPr="00E04675">
        <w:rPr>
          <w:rFonts w:ascii="Calibri" w:hAnsi="Calibri" w:cs="Calibri"/>
        </w:rPr>
        <w:t xml:space="preserve">gender pay gap </w:t>
      </w:r>
      <w:r w:rsidR="00413773" w:rsidRPr="00E04675">
        <w:rPr>
          <w:rFonts w:ascii="Calibri" w:hAnsi="Calibri" w:cs="Calibri"/>
        </w:rPr>
        <w:t>r</w:t>
      </w:r>
      <w:r w:rsidR="001F3807" w:rsidRPr="00E04675">
        <w:rPr>
          <w:rFonts w:ascii="Calibri" w:hAnsi="Calibri" w:cs="Calibri"/>
        </w:rPr>
        <w:t xml:space="preserve">ose </w:t>
      </w:r>
      <w:r w:rsidRPr="00E04675">
        <w:rPr>
          <w:rFonts w:ascii="Calibri" w:hAnsi="Calibri" w:cs="Calibri"/>
        </w:rPr>
        <w:t xml:space="preserve">slightly </w:t>
      </w:r>
      <w:r w:rsidR="001F3807" w:rsidRPr="00E04675">
        <w:rPr>
          <w:rFonts w:ascii="Calibri" w:hAnsi="Calibri" w:cs="Calibri"/>
        </w:rPr>
        <w:t xml:space="preserve">in 2023, </w:t>
      </w:r>
      <w:r w:rsidR="0093368B" w:rsidRPr="00E04675">
        <w:rPr>
          <w:rFonts w:ascii="Calibri" w:hAnsi="Calibri" w:cs="Calibri"/>
        </w:rPr>
        <w:t>since last year</w:t>
      </w:r>
      <w:r w:rsidR="001F3807" w:rsidRPr="00E04675">
        <w:rPr>
          <w:rFonts w:ascii="Calibri" w:hAnsi="Calibri" w:cs="Calibri"/>
        </w:rPr>
        <w:t xml:space="preserve"> both the median and </w:t>
      </w:r>
      <w:r w:rsidR="005575B3" w:rsidRPr="00E04675">
        <w:rPr>
          <w:rFonts w:ascii="Calibri" w:hAnsi="Calibri" w:cs="Calibri"/>
        </w:rPr>
        <w:t>mean</w:t>
      </w:r>
      <w:r w:rsidR="00413773" w:rsidRPr="00E04675">
        <w:rPr>
          <w:rFonts w:ascii="Calibri" w:hAnsi="Calibri" w:cs="Calibri"/>
        </w:rPr>
        <w:t xml:space="preserve"> gender pay gap </w:t>
      </w:r>
      <w:r w:rsidR="001F3807" w:rsidRPr="00E04675">
        <w:rPr>
          <w:rFonts w:ascii="Calibri" w:hAnsi="Calibri" w:cs="Calibri"/>
        </w:rPr>
        <w:t xml:space="preserve">% rates have </w:t>
      </w:r>
      <w:r w:rsidR="005575B3" w:rsidRPr="00E04675">
        <w:rPr>
          <w:rFonts w:ascii="Calibri" w:hAnsi="Calibri" w:cs="Calibri"/>
        </w:rPr>
        <w:t xml:space="preserve">improved </w:t>
      </w:r>
      <w:r w:rsidR="0061566F" w:rsidRPr="00E04675">
        <w:rPr>
          <w:rFonts w:ascii="Calibri" w:hAnsi="Calibri" w:cs="Calibri"/>
        </w:rPr>
        <w:t xml:space="preserve">almost </w:t>
      </w:r>
      <w:r w:rsidR="001F3807" w:rsidRPr="00E04675">
        <w:rPr>
          <w:rFonts w:ascii="Calibri" w:hAnsi="Calibri" w:cs="Calibri"/>
        </w:rPr>
        <w:t xml:space="preserve">year on year.  </w:t>
      </w:r>
      <w:r w:rsidR="0093368B" w:rsidRPr="00E04675">
        <w:rPr>
          <w:rFonts w:ascii="Calibri" w:hAnsi="Calibri" w:cs="Calibri"/>
        </w:rPr>
        <w:t xml:space="preserve"> </w:t>
      </w:r>
    </w:p>
    <w:p w14:paraId="1AED7865" w14:textId="77777777" w:rsidR="0093368B" w:rsidRPr="00E04675" w:rsidRDefault="0093368B" w:rsidP="00304872">
      <w:pPr>
        <w:spacing w:after="0" w:line="240" w:lineRule="auto"/>
        <w:jc w:val="both"/>
        <w:rPr>
          <w:rFonts w:ascii="Calibri" w:hAnsi="Calibri" w:cs="Calibri"/>
        </w:rPr>
      </w:pPr>
    </w:p>
    <w:p w14:paraId="2330731D" w14:textId="4655FFFF" w:rsidR="0093368B" w:rsidRPr="00E04675" w:rsidRDefault="0093368B" w:rsidP="00304872">
      <w:pPr>
        <w:spacing w:after="0" w:line="240" w:lineRule="auto"/>
        <w:jc w:val="both"/>
        <w:rPr>
          <w:rFonts w:ascii="Calibri" w:hAnsi="Calibri" w:cs="Calibri"/>
        </w:rPr>
      </w:pPr>
      <w:r w:rsidRPr="00E04675">
        <w:rPr>
          <w:rFonts w:ascii="Calibri" w:hAnsi="Calibri" w:cs="Calibri"/>
        </w:rPr>
        <w:t xml:space="preserve">We will study the data and </w:t>
      </w:r>
      <w:r w:rsidR="00A665A2" w:rsidRPr="00E04675">
        <w:rPr>
          <w:rFonts w:ascii="Calibri" w:hAnsi="Calibri" w:cs="Calibri"/>
        </w:rPr>
        <w:t>continue to develop and execute</w:t>
      </w:r>
      <w:r w:rsidRPr="00E04675">
        <w:rPr>
          <w:rFonts w:ascii="Calibri" w:hAnsi="Calibri" w:cs="Calibri"/>
        </w:rPr>
        <w:t xml:space="preserve"> an action plan to address areas of development within the Company and to further promote</w:t>
      </w:r>
      <w:r w:rsidR="00E179DC" w:rsidRPr="00E04675">
        <w:rPr>
          <w:rFonts w:ascii="Calibri" w:hAnsi="Calibri" w:cs="Calibri"/>
        </w:rPr>
        <w:t xml:space="preserve"> equality and inclusivity in our culture</w:t>
      </w:r>
      <w:r w:rsidRPr="00E04675">
        <w:rPr>
          <w:rFonts w:ascii="Calibri" w:hAnsi="Calibri" w:cs="Calibri"/>
        </w:rPr>
        <w:t xml:space="preserve">. </w:t>
      </w:r>
    </w:p>
    <w:p w14:paraId="14BCF0C3" w14:textId="77777777" w:rsidR="0093368B" w:rsidRPr="00E04675" w:rsidRDefault="0093368B" w:rsidP="00304872">
      <w:pPr>
        <w:spacing w:after="0" w:line="240" w:lineRule="auto"/>
        <w:jc w:val="both"/>
        <w:rPr>
          <w:rFonts w:ascii="Calibri" w:hAnsi="Calibri" w:cs="Calibri"/>
        </w:rPr>
      </w:pPr>
    </w:p>
    <w:p w14:paraId="2F6D186C" w14:textId="77777777" w:rsidR="0093368B" w:rsidRPr="00E04675" w:rsidRDefault="0093368B" w:rsidP="00304872">
      <w:pPr>
        <w:spacing w:after="0" w:line="240" w:lineRule="auto"/>
        <w:jc w:val="both"/>
        <w:rPr>
          <w:rFonts w:ascii="Calibri" w:hAnsi="Calibri" w:cs="Calibri"/>
          <w:u w:val="single"/>
        </w:rPr>
      </w:pPr>
      <w:r w:rsidRPr="00E04675">
        <w:rPr>
          <w:rFonts w:ascii="Calibri" w:hAnsi="Calibri" w:cs="Calibri"/>
          <w:u w:val="single"/>
        </w:rPr>
        <w:t xml:space="preserve">Hourly Rate </w:t>
      </w:r>
    </w:p>
    <w:p w14:paraId="074EA7D4" w14:textId="77777777" w:rsidR="0093368B" w:rsidRPr="00E04675" w:rsidRDefault="0093368B" w:rsidP="00304872">
      <w:pPr>
        <w:spacing w:after="0" w:line="240" w:lineRule="auto"/>
        <w:jc w:val="both"/>
        <w:rPr>
          <w:rFonts w:ascii="Calibri" w:hAnsi="Calibri" w:cs="Calibri"/>
        </w:rPr>
      </w:pPr>
      <w:r w:rsidRPr="00E04675">
        <w:rPr>
          <w:rFonts w:ascii="Calibri" w:hAnsi="Calibri" w:cs="Calibri"/>
        </w:rPr>
        <w:t>Women’s hourly rate is</w:t>
      </w:r>
      <w:r w:rsidR="00230ABA" w:rsidRPr="00E04675">
        <w:rPr>
          <w:rFonts w:ascii="Calibri" w:hAnsi="Calibri" w:cs="Calibri"/>
        </w:rPr>
        <w:t>:</w:t>
      </w:r>
      <w:r w:rsidRPr="00E04675">
        <w:rPr>
          <w:rFonts w:ascii="Calibri" w:hAnsi="Calibri" w:cs="Calibri"/>
        </w:rPr>
        <w:t xml:space="preserve"> </w:t>
      </w:r>
    </w:p>
    <w:p w14:paraId="6F891328" w14:textId="4638FAD5" w:rsidR="0093368B" w:rsidRPr="00E04675" w:rsidRDefault="0093368B" w:rsidP="00230ABA">
      <w:pPr>
        <w:pStyle w:val="ListParagraph"/>
        <w:numPr>
          <w:ilvl w:val="0"/>
          <w:numId w:val="15"/>
        </w:numPr>
        <w:spacing w:after="0" w:line="240" w:lineRule="auto"/>
        <w:jc w:val="both"/>
        <w:rPr>
          <w:rFonts w:ascii="Calibri" w:hAnsi="Calibri" w:cs="Calibri"/>
        </w:rPr>
      </w:pPr>
      <w:r w:rsidRPr="00E04675">
        <w:rPr>
          <w:rFonts w:ascii="Calibri" w:hAnsi="Calibri" w:cs="Calibri"/>
        </w:rPr>
        <w:t>1</w:t>
      </w:r>
      <w:r w:rsidR="001F3807" w:rsidRPr="00E04675">
        <w:rPr>
          <w:rFonts w:ascii="Calibri" w:hAnsi="Calibri" w:cs="Calibri"/>
        </w:rPr>
        <w:t>1.20</w:t>
      </w:r>
      <w:r w:rsidR="001E14C4" w:rsidRPr="00E04675">
        <w:rPr>
          <w:rFonts w:ascii="Calibri" w:hAnsi="Calibri" w:cs="Calibri"/>
        </w:rPr>
        <w:t xml:space="preserve">% </w:t>
      </w:r>
      <w:r w:rsidRPr="00E04675">
        <w:rPr>
          <w:rFonts w:ascii="Calibri" w:hAnsi="Calibri" w:cs="Calibri"/>
        </w:rPr>
        <w:t xml:space="preserve">lower than men’s (mean average) [previous year = </w:t>
      </w:r>
      <w:r w:rsidR="005575B3" w:rsidRPr="00E04675">
        <w:rPr>
          <w:rFonts w:ascii="Calibri" w:hAnsi="Calibri" w:cs="Calibri"/>
        </w:rPr>
        <w:t>1</w:t>
      </w:r>
      <w:r w:rsidR="001F3807" w:rsidRPr="00E04675">
        <w:rPr>
          <w:rFonts w:ascii="Calibri" w:hAnsi="Calibri" w:cs="Calibri"/>
        </w:rPr>
        <w:t>5</w:t>
      </w:r>
      <w:r w:rsidR="005575B3" w:rsidRPr="00E04675">
        <w:rPr>
          <w:rFonts w:ascii="Calibri" w:hAnsi="Calibri" w:cs="Calibri"/>
        </w:rPr>
        <w:t>.</w:t>
      </w:r>
      <w:r w:rsidR="001F3807" w:rsidRPr="00E04675">
        <w:rPr>
          <w:rFonts w:ascii="Calibri" w:hAnsi="Calibri" w:cs="Calibri"/>
        </w:rPr>
        <w:t>30</w:t>
      </w:r>
      <w:r w:rsidRPr="00E04675">
        <w:rPr>
          <w:rFonts w:ascii="Calibri" w:hAnsi="Calibri" w:cs="Calibri"/>
        </w:rPr>
        <w:t xml:space="preserve">%] </w:t>
      </w:r>
    </w:p>
    <w:p w14:paraId="78B0C6A3" w14:textId="6A5B3D66" w:rsidR="0093368B" w:rsidRPr="00E04675" w:rsidRDefault="001F3807" w:rsidP="00230ABA">
      <w:pPr>
        <w:pStyle w:val="ListParagraph"/>
        <w:numPr>
          <w:ilvl w:val="0"/>
          <w:numId w:val="15"/>
        </w:numPr>
        <w:spacing w:after="0" w:line="240" w:lineRule="auto"/>
        <w:jc w:val="both"/>
        <w:rPr>
          <w:rFonts w:ascii="Calibri" w:hAnsi="Calibri" w:cs="Calibri"/>
        </w:rPr>
      </w:pPr>
      <w:r w:rsidRPr="00E04675">
        <w:rPr>
          <w:rFonts w:ascii="Calibri" w:hAnsi="Calibri" w:cs="Calibri"/>
        </w:rPr>
        <w:t>9.07</w:t>
      </w:r>
      <w:r w:rsidR="001E14C4" w:rsidRPr="00E04675">
        <w:rPr>
          <w:rFonts w:ascii="Calibri" w:hAnsi="Calibri" w:cs="Calibri"/>
        </w:rPr>
        <w:t>%</w:t>
      </w:r>
      <w:r w:rsidR="0093368B" w:rsidRPr="00E04675">
        <w:rPr>
          <w:rFonts w:ascii="Calibri" w:hAnsi="Calibri" w:cs="Calibri"/>
        </w:rPr>
        <w:t xml:space="preserve"> lower than men’s (me</w:t>
      </w:r>
      <w:r w:rsidR="005575B3" w:rsidRPr="00E04675">
        <w:rPr>
          <w:rFonts w:ascii="Calibri" w:hAnsi="Calibri" w:cs="Calibri"/>
        </w:rPr>
        <w:t xml:space="preserve">dian average) [previous year = </w:t>
      </w:r>
      <w:r w:rsidRPr="00E04675">
        <w:rPr>
          <w:rFonts w:ascii="Calibri" w:hAnsi="Calibri" w:cs="Calibri"/>
        </w:rPr>
        <w:t>10.36</w:t>
      </w:r>
      <w:r w:rsidR="0093368B" w:rsidRPr="00E04675">
        <w:rPr>
          <w:rFonts w:ascii="Calibri" w:hAnsi="Calibri" w:cs="Calibri"/>
        </w:rPr>
        <w:t xml:space="preserve">%] </w:t>
      </w:r>
    </w:p>
    <w:p w14:paraId="30C144A4" w14:textId="77777777" w:rsidR="0093368B" w:rsidRPr="00E04675" w:rsidRDefault="0093368B" w:rsidP="00304872">
      <w:pPr>
        <w:spacing w:after="0" w:line="240" w:lineRule="auto"/>
        <w:jc w:val="both"/>
        <w:rPr>
          <w:rFonts w:ascii="Calibri" w:hAnsi="Calibri" w:cs="Calibri"/>
        </w:rPr>
      </w:pPr>
    </w:p>
    <w:p w14:paraId="017310F0" w14:textId="77777777" w:rsidR="0093368B" w:rsidRPr="00E04675" w:rsidRDefault="0093368B" w:rsidP="00304872">
      <w:pPr>
        <w:spacing w:after="0" w:line="240" w:lineRule="auto"/>
        <w:jc w:val="both"/>
        <w:rPr>
          <w:rFonts w:ascii="Calibri" w:hAnsi="Calibri" w:cs="Calibri"/>
          <w:u w:val="single"/>
        </w:rPr>
      </w:pPr>
      <w:r w:rsidRPr="00E04675">
        <w:rPr>
          <w:rFonts w:ascii="Calibri" w:hAnsi="Calibri" w:cs="Calibri"/>
          <w:u w:val="single"/>
        </w:rPr>
        <w:t xml:space="preserve">Bonus Rate </w:t>
      </w:r>
    </w:p>
    <w:p w14:paraId="365D73FF" w14:textId="77777777" w:rsidR="00263FBB" w:rsidRPr="00E04675" w:rsidRDefault="00263FBB" w:rsidP="00263FBB">
      <w:pPr>
        <w:spacing w:after="0" w:line="240" w:lineRule="auto"/>
        <w:jc w:val="both"/>
        <w:rPr>
          <w:rFonts w:ascii="Calibri" w:hAnsi="Calibri" w:cs="Calibri"/>
        </w:rPr>
      </w:pPr>
      <w:proofErr w:type="spellStart"/>
      <w:r w:rsidRPr="00E04675">
        <w:rPr>
          <w:rFonts w:ascii="Calibri" w:hAnsi="Calibri" w:cs="Calibri"/>
        </w:rPr>
        <w:t>CHoICE</w:t>
      </w:r>
      <w:proofErr w:type="spellEnd"/>
      <w:r w:rsidRPr="00E04675">
        <w:rPr>
          <w:rFonts w:ascii="Calibri" w:hAnsi="Calibri" w:cs="Calibri"/>
        </w:rPr>
        <w:t xml:space="preserve"> operates </w:t>
      </w:r>
      <w:r w:rsidR="00F723D0" w:rsidRPr="00E04675">
        <w:rPr>
          <w:rFonts w:ascii="Calibri" w:hAnsi="Calibri" w:cs="Calibri"/>
        </w:rPr>
        <w:t>a</w:t>
      </w:r>
      <w:r w:rsidRPr="00E04675">
        <w:rPr>
          <w:rFonts w:ascii="Calibri" w:hAnsi="Calibri" w:cs="Calibri"/>
        </w:rPr>
        <w:t xml:space="preserve"> Company performance</w:t>
      </w:r>
      <w:r w:rsidR="00F723D0" w:rsidRPr="00E04675">
        <w:rPr>
          <w:rFonts w:ascii="Calibri" w:hAnsi="Calibri" w:cs="Calibri"/>
        </w:rPr>
        <w:t>-</w:t>
      </w:r>
      <w:r w:rsidRPr="00E04675">
        <w:rPr>
          <w:rFonts w:ascii="Calibri" w:hAnsi="Calibri" w:cs="Calibri"/>
        </w:rPr>
        <w:t xml:space="preserve"> related Bonus Pay scheme.</w:t>
      </w:r>
    </w:p>
    <w:p w14:paraId="3A37C8F1" w14:textId="69EC620F" w:rsidR="00263FBB" w:rsidRPr="00E04675" w:rsidRDefault="00263FBB" w:rsidP="00263FBB">
      <w:pPr>
        <w:pStyle w:val="ListParagraph"/>
        <w:numPr>
          <w:ilvl w:val="0"/>
          <w:numId w:val="16"/>
        </w:numPr>
        <w:spacing w:after="0" w:line="240" w:lineRule="auto"/>
        <w:jc w:val="both"/>
        <w:rPr>
          <w:rFonts w:ascii="Calibri" w:hAnsi="Calibri" w:cs="Calibri"/>
        </w:rPr>
      </w:pPr>
      <w:r w:rsidRPr="00E04675">
        <w:rPr>
          <w:rFonts w:ascii="Calibri" w:hAnsi="Calibri" w:cs="Calibri"/>
        </w:rPr>
        <w:t xml:space="preserve">Women’s mean bonus gender pay gap is </w:t>
      </w:r>
      <w:r w:rsidR="00786414" w:rsidRPr="00E04675">
        <w:rPr>
          <w:rFonts w:ascii="Calibri" w:hAnsi="Calibri" w:cs="Calibri"/>
        </w:rPr>
        <w:t>44.7</w:t>
      </w:r>
      <w:r w:rsidRPr="00E04675">
        <w:rPr>
          <w:rFonts w:ascii="Calibri" w:hAnsi="Calibri" w:cs="Calibri"/>
        </w:rPr>
        <w:t>% lower than men’s</w:t>
      </w:r>
      <w:r w:rsidR="00F723D0" w:rsidRPr="00E04675">
        <w:rPr>
          <w:rFonts w:ascii="Calibri" w:hAnsi="Calibri" w:cs="Calibri"/>
        </w:rPr>
        <w:t xml:space="preserve"> [**]</w:t>
      </w:r>
    </w:p>
    <w:p w14:paraId="0924998D" w14:textId="634BB1AF" w:rsidR="00263FBB" w:rsidRPr="00E04675" w:rsidRDefault="00263FBB" w:rsidP="00263FBB">
      <w:pPr>
        <w:pStyle w:val="ListParagraph"/>
        <w:numPr>
          <w:ilvl w:val="0"/>
          <w:numId w:val="16"/>
        </w:numPr>
        <w:spacing w:after="0" w:line="240" w:lineRule="auto"/>
        <w:jc w:val="both"/>
        <w:rPr>
          <w:rFonts w:ascii="Calibri" w:hAnsi="Calibri" w:cs="Calibri"/>
        </w:rPr>
      </w:pPr>
      <w:r w:rsidRPr="00E04675">
        <w:rPr>
          <w:rFonts w:ascii="Calibri" w:hAnsi="Calibri" w:cs="Calibri"/>
        </w:rPr>
        <w:t xml:space="preserve">Women’s median bonus gender pay gap is </w:t>
      </w:r>
      <w:r w:rsidR="00786414" w:rsidRPr="00E04675">
        <w:rPr>
          <w:rFonts w:ascii="Calibri" w:hAnsi="Calibri" w:cs="Calibri"/>
        </w:rPr>
        <w:t>44.7</w:t>
      </w:r>
      <w:r w:rsidRPr="00E04675">
        <w:rPr>
          <w:rFonts w:ascii="Calibri" w:hAnsi="Calibri" w:cs="Calibri"/>
        </w:rPr>
        <w:t>% lower than men’s</w:t>
      </w:r>
    </w:p>
    <w:p w14:paraId="5C235B16" w14:textId="0A3072ED" w:rsidR="00263FBB" w:rsidRPr="00E04675" w:rsidRDefault="00263FBB" w:rsidP="00263FBB">
      <w:pPr>
        <w:pStyle w:val="ListParagraph"/>
        <w:numPr>
          <w:ilvl w:val="0"/>
          <w:numId w:val="16"/>
        </w:numPr>
        <w:spacing w:after="0" w:line="240" w:lineRule="auto"/>
        <w:jc w:val="both"/>
        <w:rPr>
          <w:rFonts w:ascii="Calibri" w:hAnsi="Calibri" w:cs="Calibri"/>
        </w:rPr>
      </w:pPr>
      <w:r w:rsidRPr="00E04675">
        <w:rPr>
          <w:rFonts w:ascii="Calibri" w:hAnsi="Calibri" w:cs="Calibri"/>
        </w:rPr>
        <w:t>The proportion of men receiving a bonus payment</w:t>
      </w:r>
      <w:r w:rsidR="005575B3" w:rsidRPr="00E04675">
        <w:rPr>
          <w:rFonts w:ascii="Calibri" w:hAnsi="Calibri" w:cs="Calibri"/>
        </w:rPr>
        <w:t xml:space="preserve"> is 0.</w:t>
      </w:r>
      <w:r w:rsidR="00786414" w:rsidRPr="00E04675">
        <w:rPr>
          <w:rFonts w:ascii="Calibri" w:hAnsi="Calibri" w:cs="Calibri"/>
        </w:rPr>
        <w:t>46</w:t>
      </w:r>
      <w:r w:rsidRPr="00E04675">
        <w:rPr>
          <w:rFonts w:ascii="Calibri" w:hAnsi="Calibri" w:cs="Calibri"/>
        </w:rPr>
        <w:t>%</w:t>
      </w:r>
    </w:p>
    <w:p w14:paraId="536A42EB" w14:textId="55050C06" w:rsidR="00263FBB" w:rsidRPr="00E04675" w:rsidRDefault="00263FBB" w:rsidP="001A306F">
      <w:pPr>
        <w:pStyle w:val="ListParagraph"/>
        <w:numPr>
          <w:ilvl w:val="0"/>
          <w:numId w:val="16"/>
        </w:numPr>
        <w:spacing w:after="0" w:line="240" w:lineRule="auto"/>
        <w:jc w:val="both"/>
        <w:rPr>
          <w:rFonts w:ascii="Calibri" w:hAnsi="Calibri" w:cs="Calibri"/>
        </w:rPr>
      </w:pPr>
      <w:r w:rsidRPr="00E04675">
        <w:rPr>
          <w:rFonts w:ascii="Calibri" w:hAnsi="Calibri" w:cs="Calibri"/>
        </w:rPr>
        <w:t>The proportion of women r</w:t>
      </w:r>
      <w:r w:rsidR="005575B3" w:rsidRPr="00E04675">
        <w:rPr>
          <w:rFonts w:ascii="Calibri" w:hAnsi="Calibri" w:cs="Calibri"/>
        </w:rPr>
        <w:t>eceiving a bonus payment is 0.</w:t>
      </w:r>
      <w:r w:rsidR="00786414" w:rsidRPr="00E04675">
        <w:rPr>
          <w:rFonts w:ascii="Calibri" w:hAnsi="Calibri" w:cs="Calibri"/>
        </w:rPr>
        <w:t>17</w:t>
      </w:r>
      <w:r w:rsidRPr="00E04675">
        <w:rPr>
          <w:rFonts w:ascii="Calibri" w:hAnsi="Calibri" w:cs="Calibri"/>
        </w:rPr>
        <w:t>%</w:t>
      </w:r>
    </w:p>
    <w:p w14:paraId="14EC1833" w14:textId="63F67719" w:rsidR="001F33F7" w:rsidRPr="00E04675" w:rsidRDefault="00F723D0" w:rsidP="000C2790">
      <w:pPr>
        <w:pStyle w:val="ListParagraph"/>
        <w:spacing w:after="0" w:line="240" w:lineRule="auto"/>
        <w:jc w:val="both"/>
        <w:rPr>
          <w:rFonts w:ascii="Calibri" w:hAnsi="Calibri" w:cs="Calibri"/>
          <w:i/>
        </w:rPr>
      </w:pPr>
      <w:r w:rsidRPr="00E04675">
        <w:rPr>
          <w:rFonts w:ascii="Calibri" w:hAnsi="Calibri" w:cs="Calibri"/>
          <w:i/>
        </w:rPr>
        <w:t>[**] bonus is paid pro-rata to WTE, rates of bonus are essentially the same</w:t>
      </w:r>
    </w:p>
    <w:p w14:paraId="0D12DD9B" w14:textId="77777777" w:rsidR="000C2790" w:rsidRPr="00E04675" w:rsidRDefault="000C2790" w:rsidP="00304872">
      <w:pPr>
        <w:spacing w:after="0" w:line="240" w:lineRule="auto"/>
        <w:jc w:val="both"/>
        <w:rPr>
          <w:rFonts w:ascii="Calibri" w:hAnsi="Calibri" w:cs="Calibri"/>
          <w:u w:val="single"/>
        </w:rPr>
      </w:pPr>
    </w:p>
    <w:p w14:paraId="642091E1" w14:textId="00F9DFFF" w:rsidR="0093368B" w:rsidRPr="00E04675" w:rsidRDefault="0093368B" w:rsidP="00304872">
      <w:pPr>
        <w:spacing w:after="0" w:line="240" w:lineRule="auto"/>
        <w:jc w:val="both"/>
        <w:rPr>
          <w:rFonts w:ascii="Calibri" w:hAnsi="Calibri" w:cs="Calibri"/>
          <w:u w:val="single"/>
        </w:rPr>
      </w:pPr>
      <w:r w:rsidRPr="00E04675">
        <w:rPr>
          <w:rFonts w:ascii="Calibri" w:hAnsi="Calibri" w:cs="Calibri"/>
          <w:u w:val="single"/>
        </w:rPr>
        <w:t xml:space="preserve">Pay Quartiles </w:t>
      </w:r>
    </w:p>
    <w:p w14:paraId="50894CF6" w14:textId="77777777" w:rsidR="0093368B" w:rsidRPr="00E04675" w:rsidRDefault="0093368B" w:rsidP="00304872">
      <w:pPr>
        <w:spacing w:after="0" w:line="240" w:lineRule="auto"/>
        <w:jc w:val="both"/>
        <w:rPr>
          <w:rFonts w:ascii="Calibri" w:hAnsi="Calibri" w:cs="Calibri"/>
        </w:rPr>
      </w:pPr>
      <w:r w:rsidRPr="00E04675">
        <w:rPr>
          <w:rFonts w:ascii="Calibri" w:hAnsi="Calibri" w:cs="Calibri"/>
        </w:rPr>
        <w:t xml:space="preserve">The proportion of men and women in each pay quartile is shown in the table below: </w:t>
      </w:r>
    </w:p>
    <w:p w14:paraId="3E5A6C9B" w14:textId="77777777" w:rsidR="0093368B" w:rsidRPr="00E04675" w:rsidRDefault="0093368B" w:rsidP="0093368B">
      <w:pPr>
        <w:spacing w:after="0" w:line="240" w:lineRule="auto"/>
        <w:jc w:val="both"/>
        <w:rPr>
          <w:rFonts w:ascii="Calibri" w:hAnsi="Calibri" w:cs="Calibri"/>
        </w:rPr>
      </w:pPr>
    </w:p>
    <w:tbl>
      <w:tblPr>
        <w:tblStyle w:val="TableGrid"/>
        <w:tblW w:w="0" w:type="auto"/>
        <w:tblInd w:w="360" w:type="dxa"/>
        <w:tblLook w:val="04A0" w:firstRow="1" w:lastRow="0" w:firstColumn="1" w:lastColumn="0" w:noHBand="0" w:noVBand="1"/>
      </w:tblPr>
      <w:tblGrid>
        <w:gridCol w:w="1053"/>
        <w:gridCol w:w="1134"/>
        <w:gridCol w:w="2188"/>
        <w:gridCol w:w="1633"/>
        <w:gridCol w:w="1431"/>
      </w:tblGrid>
      <w:tr w:rsidR="0093368B" w:rsidRPr="00E04675" w14:paraId="1943ACC9" w14:textId="77777777" w:rsidTr="00E04675">
        <w:trPr>
          <w:trHeight w:val="221"/>
        </w:trPr>
        <w:tc>
          <w:tcPr>
            <w:tcW w:w="1053" w:type="dxa"/>
          </w:tcPr>
          <w:p w14:paraId="2E055E16" w14:textId="77777777" w:rsidR="0093368B" w:rsidRPr="00E04675" w:rsidRDefault="0093368B" w:rsidP="003963F0">
            <w:pPr>
              <w:jc w:val="both"/>
              <w:rPr>
                <w:rFonts w:ascii="Calibri" w:hAnsi="Calibri" w:cs="Calibri"/>
              </w:rPr>
            </w:pPr>
            <w:r w:rsidRPr="00E04675">
              <w:rPr>
                <w:rFonts w:ascii="Calibri" w:hAnsi="Calibri" w:cs="Calibri"/>
              </w:rPr>
              <w:t>Quartile</w:t>
            </w:r>
          </w:p>
        </w:tc>
        <w:tc>
          <w:tcPr>
            <w:tcW w:w="1134" w:type="dxa"/>
          </w:tcPr>
          <w:p w14:paraId="1EF73B6D" w14:textId="77777777" w:rsidR="0093368B" w:rsidRPr="00E04675" w:rsidRDefault="0093368B" w:rsidP="003963F0">
            <w:pPr>
              <w:jc w:val="both"/>
              <w:rPr>
                <w:rFonts w:ascii="Calibri" w:hAnsi="Calibri" w:cs="Calibri"/>
              </w:rPr>
            </w:pPr>
            <w:r w:rsidRPr="00E04675">
              <w:rPr>
                <w:rFonts w:ascii="Calibri" w:hAnsi="Calibri" w:cs="Calibri"/>
              </w:rPr>
              <w:t>Female</w:t>
            </w:r>
          </w:p>
        </w:tc>
        <w:tc>
          <w:tcPr>
            <w:tcW w:w="2188" w:type="dxa"/>
          </w:tcPr>
          <w:p w14:paraId="0DAF7860" w14:textId="77777777" w:rsidR="0093368B" w:rsidRPr="00E04675" w:rsidRDefault="0093368B" w:rsidP="003963F0">
            <w:pPr>
              <w:jc w:val="both"/>
              <w:rPr>
                <w:rFonts w:ascii="Calibri" w:hAnsi="Calibri" w:cs="Calibri"/>
              </w:rPr>
            </w:pPr>
            <w:r w:rsidRPr="00E04675">
              <w:rPr>
                <w:rFonts w:ascii="Calibri" w:hAnsi="Calibri" w:cs="Calibri"/>
              </w:rPr>
              <w:t>Male</w:t>
            </w:r>
          </w:p>
        </w:tc>
        <w:tc>
          <w:tcPr>
            <w:tcW w:w="1633" w:type="dxa"/>
          </w:tcPr>
          <w:p w14:paraId="1FA9C20F" w14:textId="77777777" w:rsidR="0093368B" w:rsidRPr="00E04675" w:rsidRDefault="0093368B" w:rsidP="003963F0">
            <w:pPr>
              <w:jc w:val="both"/>
              <w:rPr>
                <w:rFonts w:ascii="Calibri" w:hAnsi="Calibri" w:cs="Calibri"/>
              </w:rPr>
            </w:pPr>
            <w:r w:rsidRPr="00E04675">
              <w:rPr>
                <w:rFonts w:ascii="Calibri" w:hAnsi="Calibri" w:cs="Calibri"/>
              </w:rPr>
              <w:t>Female</w:t>
            </w:r>
            <w:r w:rsidR="001E14C4" w:rsidRPr="00E04675">
              <w:rPr>
                <w:rFonts w:ascii="Calibri" w:hAnsi="Calibri" w:cs="Calibri"/>
              </w:rPr>
              <w:t xml:space="preserve"> %</w:t>
            </w:r>
          </w:p>
        </w:tc>
        <w:tc>
          <w:tcPr>
            <w:tcW w:w="1431" w:type="dxa"/>
          </w:tcPr>
          <w:p w14:paraId="4E86825B" w14:textId="77777777" w:rsidR="0093368B" w:rsidRPr="00E04675" w:rsidRDefault="0093368B" w:rsidP="003963F0">
            <w:pPr>
              <w:jc w:val="both"/>
              <w:rPr>
                <w:rFonts w:ascii="Calibri" w:hAnsi="Calibri" w:cs="Calibri"/>
              </w:rPr>
            </w:pPr>
            <w:r w:rsidRPr="00E04675">
              <w:rPr>
                <w:rFonts w:ascii="Calibri" w:hAnsi="Calibri" w:cs="Calibri"/>
              </w:rPr>
              <w:t>Male</w:t>
            </w:r>
            <w:r w:rsidR="001E14C4" w:rsidRPr="00E04675">
              <w:rPr>
                <w:rFonts w:ascii="Calibri" w:hAnsi="Calibri" w:cs="Calibri"/>
              </w:rPr>
              <w:t xml:space="preserve"> %</w:t>
            </w:r>
          </w:p>
        </w:tc>
      </w:tr>
      <w:tr w:rsidR="001F33F7" w:rsidRPr="00E04675" w14:paraId="7BDDD9BE" w14:textId="77777777" w:rsidTr="00E04675">
        <w:trPr>
          <w:trHeight w:val="389"/>
        </w:trPr>
        <w:tc>
          <w:tcPr>
            <w:tcW w:w="1053" w:type="dxa"/>
          </w:tcPr>
          <w:p w14:paraId="544858AF" w14:textId="77777777" w:rsidR="001F33F7" w:rsidRPr="00E04675" w:rsidRDefault="001F33F7" w:rsidP="001F33F7">
            <w:pPr>
              <w:jc w:val="both"/>
              <w:rPr>
                <w:rFonts w:ascii="Calibri" w:hAnsi="Calibri" w:cs="Calibri"/>
              </w:rPr>
            </w:pPr>
            <w:r w:rsidRPr="00E04675">
              <w:rPr>
                <w:rFonts w:ascii="Calibri" w:hAnsi="Calibri" w:cs="Calibri"/>
              </w:rPr>
              <w:t>1</w:t>
            </w:r>
          </w:p>
        </w:tc>
        <w:tc>
          <w:tcPr>
            <w:tcW w:w="1134" w:type="dxa"/>
          </w:tcPr>
          <w:p w14:paraId="767F1E38" w14:textId="3CB7CA6E"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185</w:t>
            </w:r>
          </w:p>
        </w:tc>
        <w:tc>
          <w:tcPr>
            <w:tcW w:w="2188" w:type="dxa"/>
          </w:tcPr>
          <w:p w14:paraId="05B732B9" w14:textId="41925ECF"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75</w:t>
            </w:r>
          </w:p>
        </w:tc>
        <w:tc>
          <w:tcPr>
            <w:tcW w:w="1633" w:type="dxa"/>
          </w:tcPr>
          <w:p w14:paraId="602197BB" w14:textId="47F351E6"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71.15</w:t>
            </w:r>
          </w:p>
        </w:tc>
        <w:tc>
          <w:tcPr>
            <w:tcW w:w="1431" w:type="dxa"/>
          </w:tcPr>
          <w:p w14:paraId="03C6C771" w14:textId="247B7A96"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28.84</w:t>
            </w:r>
          </w:p>
        </w:tc>
      </w:tr>
      <w:tr w:rsidR="001F33F7" w:rsidRPr="00E04675" w14:paraId="307B7064" w14:textId="77777777" w:rsidTr="00E04675">
        <w:trPr>
          <w:trHeight w:val="435"/>
        </w:trPr>
        <w:tc>
          <w:tcPr>
            <w:tcW w:w="1053" w:type="dxa"/>
          </w:tcPr>
          <w:p w14:paraId="08F747DC" w14:textId="77777777" w:rsidR="001F33F7" w:rsidRPr="00E04675" w:rsidRDefault="001F33F7" w:rsidP="001F33F7">
            <w:pPr>
              <w:jc w:val="both"/>
              <w:rPr>
                <w:rFonts w:ascii="Calibri" w:hAnsi="Calibri" w:cs="Calibri"/>
              </w:rPr>
            </w:pPr>
            <w:r w:rsidRPr="00E04675">
              <w:rPr>
                <w:rFonts w:ascii="Calibri" w:hAnsi="Calibri" w:cs="Calibri"/>
              </w:rPr>
              <w:t>2</w:t>
            </w:r>
          </w:p>
        </w:tc>
        <w:tc>
          <w:tcPr>
            <w:tcW w:w="1134" w:type="dxa"/>
          </w:tcPr>
          <w:p w14:paraId="118C83E3" w14:textId="5C99B148"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16</w:t>
            </w:r>
            <w:r w:rsidR="000C2790" w:rsidRPr="00E04675">
              <w:rPr>
                <w:rFonts w:ascii="Calibri" w:eastAsia="Times New Roman" w:hAnsi="Calibri" w:cs="Calibri"/>
                <w:color w:val="000000"/>
                <w:lang w:eastAsia="en-GB"/>
              </w:rPr>
              <w:t>1</w:t>
            </w:r>
          </w:p>
        </w:tc>
        <w:tc>
          <w:tcPr>
            <w:tcW w:w="2188" w:type="dxa"/>
          </w:tcPr>
          <w:p w14:paraId="56AC6172" w14:textId="582EEA6B" w:rsidR="001F33F7" w:rsidRPr="00E04675" w:rsidRDefault="000C2790"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10</w:t>
            </w:r>
            <w:r w:rsidR="001F33F7" w:rsidRPr="00E04675">
              <w:rPr>
                <w:rFonts w:ascii="Calibri" w:eastAsia="Times New Roman" w:hAnsi="Calibri" w:cs="Calibri"/>
                <w:color w:val="000000"/>
                <w:lang w:eastAsia="en-GB"/>
              </w:rPr>
              <w:t>0</w:t>
            </w:r>
          </w:p>
        </w:tc>
        <w:tc>
          <w:tcPr>
            <w:tcW w:w="1633" w:type="dxa"/>
          </w:tcPr>
          <w:p w14:paraId="2E234548" w14:textId="2505F808"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61.68</w:t>
            </w:r>
          </w:p>
        </w:tc>
        <w:tc>
          <w:tcPr>
            <w:tcW w:w="1431" w:type="dxa"/>
          </w:tcPr>
          <w:p w14:paraId="1A25A018" w14:textId="75A3B93B"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38.31</w:t>
            </w:r>
          </w:p>
        </w:tc>
      </w:tr>
      <w:tr w:rsidR="001F33F7" w:rsidRPr="00E04675" w14:paraId="2A5021A6" w14:textId="77777777" w:rsidTr="00E04675">
        <w:trPr>
          <w:trHeight w:val="443"/>
        </w:trPr>
        <w:tc>
          <w:tcPr>
            <w:tcW w:w="1053" w:type="dxa"/>
          </w:tcPr>
          <w:p w14:paraId="0A938499" w14:textId="77777777" w:rsidR="001F33F7" w:rsidRPr="00E04675" w:rsidRDefault="001F33F7" w:rsidP="001F33F7">
            <w:pPr>
              <w:jc w:val="both"/>
              <w:rPr>
                <w:rFonts w:ascii="Calibri" w:hAnsi="Calibri" w:cs="Calibri"/>
              </w:rPr>
            </w:pPr>
            <w:r w:rsidRPr="00E04675">
              <w:rPr>
                <w:rFonts w:ascii="Calibri" w:hAnsi="Calibri" w:cs="Calibri"/>
              </w:rPr>
              <w:t>3</w:t>
            </w:r>
          </w:p>
        </w:tc>
        <w:tc>
          <w:tcPr>
            <w:tcW w:w="1134" w:type="dxa"/>
          </w:tcPr>
          <w:p w14:paraId="58529402" w14:textId="3F20EFFC"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 xml:space="preserve">151 </w:t>
            </w:r>
          </w:p>
        </w:tc>
        <w:tc>
          <w:tcPr>
            <w:tcW w:w="2188" w:type="dxa"/>
          </w:tcPr>
          <w:p w14:paraId="7304F3EE" w14:textId="798CB0E6"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 xml:space="preserve">110 </w:t>
            </w:r>
          </w:p>
        </w:tc>
        <w:tc>
          <w:tcPr>
            <w:tcW w:w="1633" w:type="dxa"/>
          </w:tcPr>
          <w:p w14:paraId="200EDE2F" w14:textId="0F32F100"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57.85</w:t>
            </w:r>
          </w:p>
        </w:tc>
        <w:tc>
          <w:tcPr>
            <w:tcW w:w="1431" w:type="dxa"/>
          </w:tcPr>
          <w:p w14:paraId="756E7A20" w14:textId="64D25514"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42.14</w:t>
            </w:r>
          </w:p>
        </w:tc>
      </w:tr>
      <w:tr w:rsidR="001F33F7" w:rsidRPr="00E04675" w14:paraId="6AF4FFA3" w14:textId="77777777" w:rsidTr="00E04675">
        <w:trPr>
          <w:trHeight w:val="365"/>
        </w:trPr>
        <w:tc>
          <w:tcPr>
            <w:tcW w:w="1053" w:type="dxa"/>
          </w:tcPr>
          <w:p w14:paraId="5F27B93D" w14:textId="77777777" w:rsidR="001F33F7" w:rsidRPr="00E04675" w:rsidRDefault="001F33F7" w:rsidP="001F33F7">
            <w:pPr>
              <w:jc w:val="both"/>
              <w:rPr>
                <w:rFonts w:ascii="Calibri" w:hAnsi="Calibri" w:cs="Calibri"/>
              </w:rPr>
            </w:pPr>
            <w:r w:rsidRPr="00E04675">
              <w:rPr>
                <w:rFonts w:ascii="Calibri" w:hAnsi="Calibri" w:cs="Calibri"/>
              </w:rPr>
              <w:t>4</w:t>
            </w:r>
          </w:p>
        </w:tc>
        <w:tc>
          <w:tcPr>
            <w:tcW w:w="1134" w:type="dxa"/>
          </w:tcPr>
          <w:p w14:paraId="11FA547F" w14:textId="4CC0BFFF"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 xml:space="preserve">105 </w:t>
            </w:r>
          </w:p>
        </w:tc>
        <w:tc>
          <w:tcPr>
            <w:tcW w:w="2188" w:type="dxa"/>
          </w:tcPr>
          <w:p w14:paraId="4B883EDD" w14:textId="4D2441A1" w:rsidR="001F33F7" w:rsidRPr="00E04675" w:rsidRDefault="001F33F7" w:rsidP="000C2790">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156</w:t>
            </w:r>
          </w:p>
        </w:tc>
        <w:tc>
          <w:tcPr>
            <w:tcW w:w="1633" w:type="dxa"/>
          </w:tcPr>
          <w:p w14:paraId="44E07D00" w14:textId="7416C125"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40.23</w:t>
            </w:r>
          </w:p>
        </w:tc>
        <w:tc>
          <w:tcPr>
            <w:tcW w:w="1431" w:type="dxa"/>
          </w:tcPr>
          <w:p w14:paraId="7328453C" w14:textId="27FCA353" w:rsidR="001F33F7" w:rsidRPr="00E04675" w:rsidRDefault="001F33F7" w:rsidP="00E04675">
            <w:pPr>
              <w:jc w:val="right"/>
              <w:rPr>
                <w:rFonts w:ascii="Calibri" w:eastAsia="Times New Roman" w:hAnsi="Calibri" w:cs="Calibri"/>
                <w:color w:val="000000"/>
                <w:lang w:eastAsia="en-GB"/>
              </w:rPr>
            </w:pPr>
            <w:r w:rsidRPr="00E04675">
              <w:rPr>
                <w:rFonts w:ascii="Calibri" w:eastAsia="Times New Roman" w:hAnsi="Calibri" w:cs="Calibri"/>
                <w:color w:val="000000"/>
                <w:lang w:eastAsia="en-GB"/>
              </w:rPr>
              <w:t>59.77</w:t>
            </w:r>
          </w:p>
        </w:tc>
      </w:tr>
    </w:tbl>
    <w:p w14:paraId="53FFFF55" w14:textId="77777777" w:rsidR="00413773" w:rsidRPr="0093368B" w:rsidRDefault="00413773" w:rsidP="00E04675">
      <w:pPr>
        <w:spacing w:after="0" w:line="240" w:lineRule="auto"/>
        <w:jc w:val="both"/>
        <w:rPr>
          <w:rFonts w:ascii="Arial" w:hAnsi="Arial" w:cs="Arial"/>
        </w:rPr>
      </w:pPr>
    </w:p>
    <w:sectPr w:rsidR="00413773" w:rsidRPr="0093368B" w:rsidSect="00BA16AB">
      <w:footerReference w:type="default" r:id="rId10"/>
      <w:pgSz w:w="11906" w:h="16838"/>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E0E2" w14:textId="77777777" w:rsidR="000333DC" w:rsidRDefault="000333DC" w:rsidP="00E31604">
      <w:pPr>
        <w:spacing w:after="0" w:line="240" w:lineRule="auto"/>
      </w:pPr>
      <w:r>
        <w:separator/>
      </w:r>
    </w:p>
  </w:endnote>
  <w:endnote w:type="continuationSeparator" w:id="0">
    <w:p w14:paraId="14C4B322" w14:textId="77777777" w:rsidR="000333DC" w:rsidRDefault="000333DC" w:rsidP="00E3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880406"/>
      <w:docPartObj>
        <w:docPartGallery w:val="Page Numbers (Bottom of Page)"/>
        <w:docPartUnique/>
      </w:docPartObj>
    </w:sdtPr>
    <w:sdtEndPr>
      <w:rPr>
        <w:rFonts w:ascii="Arial" w:hAnsi="Arial" w:cs="Arial"/>
        <w:noProof/>
        <w:sz w:val="18"/>
        <w:szCs w:val="18"/>
      </w:rPr>
    </w:sdtEndPr>
    <w:sdtContent>
      <w:p w14:paraId="08521C0A" w14:textId="77777777" w:rsidR="00E31604" w:rsidRPr="00E31604" w:rsidRDefault="00E31604">
        <w:pPr>
          <w:pStyle w:val="Footer"/>
          <w:jc w:val="right"/>
          <w:rPr>
            <w:rFonts w:ascii="Arial" w:hAnsi="Arial" w:cs="Arial"/>
            <w:sz w:val="18"/>
            <w:szCs w:val="18"/>
          </w:rPr>
        </w:pPr>
        <w:r w:rsidRPr="00E31604">
          <w:rPr>
            <w:rFonts w:ascii="Arial" w:hAnsi="Arial" w:cs="Arial"/>
            <w:sz w:val="18"/>
            <w:szCs w:val="18"/>
          </w:rPr>
          <w:fldChar w:fldCharType="begin"/>
        </w:r>
        <w:r w:rsidRPr="00E31604">
          <w:rPr>
            <w:rFonts w:ascii="Arial" w:hAnsi="Arial" w:cs="Arial"/>
            <w:sz w:val="18"/>
            <w:szCs w:val="18"/>
          </w:rPr>
          <w:instrText xml:space="preserve"> PAGE   \* MERGEFORMAT </w:instrText>
        </w:r>
        <w:r w:rsidRPr="00E31604">
          <w:rPr>
            <w:rFonts w:ascii="Arial" w:hAnsi="Arial" w:cs="Arial"/>
            <w:sz w:val="18"/>
            <w:szCs w:val="18"/>
          </w:rPr>
          <w:fldChar w:fldCharType="separate"/>
        </w:r>
        <w:r w:rsidR="002451C8">
          <w:rPr>
            <w:rFonts w:ascii="Arial" w:hAnsi="Arial" w:cs="Arial"/>
            <w:noProof/>
            <w:sz w:val="18"/>
            <w:szCs w:val="18"/>
          </w:rPr>
          <w:t>2</w:t>
        </w:r>
        <w:r w:rsidRPr="00E31604">
          <w:rPr>
            <w:rFonts w:ascii="Arial" w:hAnsi="Arial" w:cs="Arial"/>
            <w:noProof/>
            <w:sz w:val="18"/>
            <w:szCs w:val="18"/>
          </w:rPr>
          <w:fldChar w:fldCharType="end"/>
        </w:r>
      </w:p>
    </w:sdtContent>
  </w:sdt>
  <w:p w14:paraId="510A4DE0" w14:textId="77777777" w:rsidR="00E31604" w:rsidRDefault="00E3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C19E" w14:textId="77777777" w:rsidR="000333DC" w:rsidRDefault="000333DC" w:rsidP="00E31604">
      <w:pPr>
        <w:spacing w:after="0" w:line="240" w:lineRule="auto"/>
      </w:pPr>
      <w:r>
        <w:separator/>
      </w:r>
    </w:p>
  </w:footnote>
  <w:footnote w:type="continuationSeparator" w:id="0">
    <w:p w14:paraId="2BEB6EE1" w14:textId="77777777" w:rsidR="000333DC" w:rsidRDefault="000333DC" w:rsidP="00E31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30D"/>
    <w:multiLevelType w:val="hybridMultilevel"/>
    <w:tmpl w:val="F4D89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9324DE"/>
    <w:multiLevelType w:val="hybridMultilevel"/>
    <w:tmpl w:val="32C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7593D"/>
    <w:multiLevelType w:val="hybridMultilevel"/>
    <w:tmpl w:val="A120C91A"/>
    <w:lvl w:ilvl="0" w:tplc="C00E761A">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880272"/>
    <w:multiLevelType w:val="hybridMultilevel"/>
    <w:tmpl w:val="FA7C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6773F"/>
    <w:multiLevelType w:val="hybridMultilevel"/>
    <w:tmpl w:val="0614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2D7"/>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73CD3"/>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94A73"/>
    <w:multiLevelType w:val="multilevel"/>
    <w:tmpl w:val="D3FE6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C17E8A"/>
    <w:multiLevelType w:val="hybridMultilevel"/>
    <w:tmpl w:val="5896DD6A"/>
    <w:lvl w:ilvl="0" w:tplc="C00E761A">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DD00C2"/>
    <w:multiLevelType w:val="hybridMultilevel"/>
    <w:tmpl w:val="77D83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F28D5"/>
    <w:multiLevelType w:val="hybridMultilevel"/>
    <w:tmpl w:val="63E0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52FC3"/>
    <w:multiLevelType w:val="hybridMultilevel"/>
    <w:tmpl w:val="359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17619"/>
    <w:multiLevelType w:val="hybridMultilevel"/>
    <w:tmpl w:val="F0E63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608D7"/>
    <w:multiLevelType w:val="hybridMultilevel"/>
    <w:tmpl w:val="B746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605E7"/>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0748F9"/>
    <w:multiLevelType w:val="hybridMultilevel"/>
    <w:tmpl w:val="5E0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074081">
    <w:abstractNumId w:val="11"/>
  </w:num>
  <w:num w:numId="2" w16cid:durableId="1323509837">
    <w:abstractNumId w:val="12"/>
  </w:num>
  <w:num w:numId="3" w16cid:durableId="1291476500">
    <w:abstractNumId w:val="7"/>
  </w:num>
  <w:num w:numId="4" w16cid:durableId="1404139122">
    <w:abstractNumId w:val="9"/>
  </w:num>
  <w:num w:numId="5" w16cid:durableId="1100296432">
    <w:abstractNumId w:val="14"/>
  </w:num>
  <w:num w:numId="6" w16cid:durableId="1364595167">
    <w:abstractNumId w:val="13"/>
  </w:num>
  <w:num w:numId="7" w16cid:durableId="888028998">
    <w:abstractNumId w:val="0"/>
  </w:num>
  <w:num w:numId="8" w16cid:durableId="115488712">
    <w:abstractNumId w:val="8"/>
  </w:num>
  <w:num w:numId="9" w16cid:durableId="1712463761">
    <w:abstractNumId w:val="2"/>
  </w:num>
  <w:num w:numId="10" w16cid:durableId="668797724">
    <w:abstractNumId w:val="3"/>
  </w:num>
  <w:num w:numId="11" w16cid:durableId="1882861508">
    <w:abstractNumId w:val="6"/>
  </w:num>
  <w:num w:numId="12" w16cid:durableId="1585459550">
    <w:abstractNumId w:val="10"/>
  </w:num>
  <w:num w:numId="13" w16cid:durableId="859859259">
    <w:abstractNumId w:val="5"/>
  </w:num>
  <w:num w:numId="14" w16cid:durableId="1059867804">
    <w:abstractNumId w:val="4"/>
  </w:num>
  <w:num w:numId="15" w16cid:durableId="184098720">
    <w:abstractNumId w:val="1"/>
  </w:num>
  <w:num w:numId="16" w16cid:durableId="849875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B7"/>
    <w:rsid w:val="00010494"/>
    <w:rsid w:val="00011672"/>
    <w:rsid w:val="00022763"/>
    <w:rsid w:val="000333DC"/>
    <w:rsid w:val="000677B4"/>
    <w:rsid w:val="00096915"/>
    <w:rsid w:val="000A04E9"/>
    <w:rsid w:val="000B0F92"/>
    <w:rsid w:val="000C2790"/>
    <w:rsid w:val="000C593B"/>
    <w:rsid w:val="000C5F6A"/>
    <w:rsid w:val="000D7CB4"/>
    <w:rsid w:val="000F2C17"/>
    <w:rsid w:val="000F7012"/>
    <w:rsid w:val="0012107B"/>
    <w:rsid w:val="00122CD0"/>
    <w:rsid w:val="00145BE3"/>
    <w:rsid w:val="00161333"/>
    <w:rsid w:val="00193724"/>
    <w:rsid w:val="001A33A4"/>
    <w:rsid w:val="001C5FE0"/>
    <w:rsid w:val="001E14C4"/>
    <w:rsid w:val="001F33F7"/>
    <w:rsid w:val="001F3807"/>
    <w:rsid w:val="00230ABA"/>
    <w:rsid w:val="00233C03"/>
    <w:rsid w:val="002451C8"/>
    <w:rsid w:val="00253179"/>
    <w:rsid w:val="00263FBB"/>
    <w:rsid w:val="00281110"/>
    <w:rsid w:val="002C65F7"/>
    <w:rsid w:val="002F5C90"/>
    <w:rsid w:val="00304872"/>
    <w:rsid w:val="00330B88"/>
    <w:rsid w:val="003818E3"/>
    <w:rsid w:val="003963F0"/>
    <w:rsid w:val="003A6594"/>
    <w:rsid w:val="003D19DF"/>
    <w:rsid w:val="004017AB"/>
    <w:rsid w:val="00413214"/>
    <w:rsid w:val="00413773"/>
    <w:rsid w:val="004553E3"/>
    <w:rsid w:val="004A4CB7"/>
    <w:rsid w:val="004B0A5A"/>
    <w:rsid w:val="004C1066"/>
    <w:rsid w:val="004D7817"/>
    <w:rsid w:val="00504F27"/>
    <w:rsid w:val="00507BF5"/>
    <w:rsid w:val="005124BB"/>
    <w:rsid w:val="00550C3B"/>
    <w:rsid w:val="005575B3"/>
    <w:rsid w:val="00573922"/>
    <w:rsid w:val="005B2465"/>
    <w:rsid w:val="005B449D"/>
    <w:rsid w:val="0061566F"/>
    <w:rsid w:val="006203FB"/>
    <w:rsid w:val="00645555"/>
    <w:rsid w:val="00647578"/>
    <w:rsid w:val="0068419A"/>
    <w:rsid w:val="00690A0C"/>
    <w:rsid w:val="006B18AC"/>
    <w:rsid w:val="006D7343"/>
    <w:rsid w:val="006D7F8B"/>
    <w:rsid w:val="007101A0"/>
    <w:rsid w:val="0071713B"/>
    <w:rsid w:val="00721929"/>
    <w:rsid w:val="00730E8E"/>
    <w:rsid w:val="00737869"/>
    <w:rsid w:val="007626D3"/>
    <w:rsid w:val="00772372"/>
    <w:rsid w:val="007805DC"/>
    <w:rsid w:val="00786414"/>
    <w:rsid w:val="007A066C"/>
    <w:rsid w:val="007A2AE7"/>
    <w:rsid w:val="007C314E"/>
    <w:rsid w:val="007D15B6"/>
    <w:rsid w:val="008018C9"/>
    <w:rsid w:val="008306E1"/>
    <w:rsid w:val="008446B0"/>
    <w:rsid w:val="00862010"/>
    <w:rsid w:val="008B051E"/>
    <w:rsid w:val="008B1270"/>
    <w:rsid w:val="008E59C9"/>
    <w:rsid w:val="008E68B0"/>
    <w:rsid w:val="00914443"/>
    <w:rsid w:val="00933510"/>
    <w:rsid w:val="0093368B"/>
    <w:rsid w:val="009344A4"/>
    <w:rsid w:val="00967ECF"/>
    <w:rsid w:val="00976C1E"/>
    <w:rsid w:val="00980A01"/>
    <w:rsid w:val="009A075D"/>
    <w:rsid w:val="009B55F9"/>
    <w:rsid w:val="009C67DA"/>
    <w:rsid w:val="00A10348"/>
    <w:rsid w:val="00A665A2"/>
    <w:rsid w:val="00AB7E41"/>
    <w:rsid w:val="00AF3217"/>
    <w:rsid w:val="00B00C0D"/>
    <w:rsid w:val="00B042C2"/>
    <w:rsid w:val="00B10146"/>
    <w:rsid w:val="00B243A9"/>
    <w:rsid w:val="00B446E6"/>
    <w:rsid w:val="00B45057"/>
    <w:rsid w:val="00B51E6A"/>
    <w:rsid w:val="00B56677"/>
    <w:rsid w:val="00B57628"/>
    <w:rsid w:val="00B62A3F"/>
    <w:rsid w:val="00B7092E"/>
    <w:rsid w:val="00B73658"/>
    <w:rsid w:val="00B75520"/>
    <w:rsid w:val="00B76014"/>
    <w:rsid w:val="00BA16AB"/>
    <w:rsid w:val="00BD5F27"/>
    <w:rsid w:val="00BD752B"/>
    <w:rsid w:val="00BE5863"/>
    <w:rsid w:val="00BF0021"/>
    <w:rsid w:val="00BF3202"/>
    <w:rsid w:val="00C3543A"/>
    <w:rsid w:val="00C36C81"/>
    <w:rsid w:val="00C665C9"/>
    <w:rsid w:val="00C949BE"/>
    <w:rsid w:val="00D06639"/>
    <w:rsid w:val="00D14FC4"/>
    <w:rsid w:val="00D17C2F"/>
    <w:rsid w:val="00D273FD"/>
    <w:rsid w:val="00D27BBA"/>
    <w:rsid w:val="00D45CC1"/>
    <w:rsid w:val="00D75354"/>
    <w:rsid w:val="00D85675"/>
    <w:rsid w:val="00DA2855"/>
    <w:rsid w:val="00DE167A"/>
    <w:rsid w:val="00DF74B0"/>
    <w:rsid w:val="00E041B4"/>
    <w:rsid w:val="00E04675"/>
    <w:rsid w:val="00E11415"/>
    <w:rsid w:val="00E179DC"/>
    <w:rsid w:val="00E25DA3"/>
    <w:rsid w:val="00E31604"/>
    <w:rsid w:val="00E4146A"/>
    <w:rsid w:val="00E6180D"/>
    <w:rsid w:val="00E62FDB"/>
    <w:rsid w:val="00E963A1"/>
    <w:rsid w:val="00EA24C9"/>
    <w:rsid w:val="00EA74C0"/>
    <w:rsid w:val="00EC5E83"/>
    <w:rsid w:val="00EF161F"/>
    <w:rsid w:val="00F0328E"/>
    <w:rsid w:val="00F076DF"/>
    <w:rsid w:val="00F22EBA"/>
    <w:rsid w:val="00F314D0"/>
    <w:rsid w:val="00F5365C"/>
    <w:rsid w:val="00F60D21"/>
    <w:rsid w:val="00F723D0"/>
    <w:rsid w:val="00F86CAB"/>
    <w:rsid w:val="00FC4B01"/>
    <w:rsid w:val="00FD3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576D"/>
  <w15:docId w15:val="{AD24542A-130D-4DBF-9056-5A445C5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FC4"/>
    <w:rPr>
      <w:rFonts w:ascii="Tahoma" w:hAnsi="Tahoma" w:cs="Tahoma"/>
      <w:sz w:val="16"/>
      <w:szCs w:val="16"/>
    </w:rPr>
  </w:style>
  <w:style w:type="character" w:styleId="Hyperlink">
    <w:name w:val="Hyperlink"/>
    <w:basedOn w:val="DefaultParagraphFont"/>
    <w:uiPriority w:val="99"/>
    <w:unhideWhenUsed/>
    <w:rsid w:val="007A2AE7"/>
    <w:rPr>
      <w:color w:val="0000FF" w:themeColor="hyperlink"/>
      <w:u w:val="single"/>
    </w:rPr>
  </w:style>
  <w:style w:type="paragraph" w:customStyle="1" w:styleId="Default">
    <w:name w:val="Default"/>
    <w:rsid w:val="00E4146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66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04"/>
  </w:style>
  <w:style w:type="paragraph" w:styleId="Footer">
    <w:name w:val="footer"/>
    <w:basedOn w:val="Normal"/>
    <w:link w:val="FooterChar"/>
    <w:uiPriority w:val="99"/>
    <w:unhideWhenUsed/>
    <w:rsid w:val="00E3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04"/>
  </w:style>
  <w:style w:type="paragraph" w:styleId="ListParagraph">
    <w:name w:val="List Paragraph"/>
    <w:basedOn w:val="Normal"/>
    <w:uiPriority w:val="34"/>
    <w:qFormat/>
    <w:rsid w:val="00C949BE"/>
    <w:pPr>
      <w:ind w:left="720"/>
      <w:contextualSpacing/>
    </w:pPr>
  </w:style>
  <w:style w:type="character" w:styleId="CommentReference">
    <w:name w:val="annotation reference"/>
    <w:basedOn w:val="DefaultParagraphFont"/>
    <w:uiPriority w:val="99"/>
    <w:semiHidden/>
    <w:unhideWhenUsed/>
    <w:rsid w:val="00721929"/>
    <w:rPr>
      <w:sz w:val="16"/>
      <w:szCs w:val="16"/>
    </w:rPr>
  </w:style>
  <w:style w:type="paragraph" w:styleId="CommentText">
    <w:name w:val="annotation text"/>
    <w:basedOn w:val="Normal"/>
    <w:link w:val="CommentTextChar"/>
    <w:uiPriority w:val="99"/>
    <w:semiHidden/>
    <w:unhideWhenUsed/>
    <w:rsid w:val="00721929"/>
    <w:pPr>
      <w:spacing w:line="240" w:lineRule="auto"/>
    </w:pPr>
    <w:rPr>
      <w:sz w:val="20"/>
      <w:szCs w:val="20"/>
    </w:rPr>
  </w:style>
  <w:style w:type="character" w:customStyle="1" w:styleId="CommentTextChar">
    <w:name w:val="Comment Text Char"/>
    <w:basedOn w:val="DefaultParagraphFont"/>
    <w:link w:val="CommentText"/>
    <w:uiPriority w:val="99"/>
    <w:semiHidden/>
    <w:rsid w:val="00721929"/>
    <w:rPr>
      <w:sz w:val="20"/>
      <w:szCs w:val="20"/>
    </w:rPr>
  </w:style>
  <w:style w:type="paragraph" w:styleId="CommentSubject">
    <w:name w:val="annotation subject"/>
    <w:basedOn w:val="CommentText"/>
    <w:next w:val="CommentText"/>
    <w:link w:val="CommentSubjectChar"/>
    <w:uiPriority w:val="99"/>
    <w:semiHidden/>
    <w:unhideWhenUsed/>
    <w:rsid w:val="00721929"/>
    <w:rPr>
      <w:b/>
      <w:bCs/>
    </w:rPr>
  </w:style>
  <w:style w:type="character" w:customStyle="1" w:styleId="CommentSubjectChar">
    <w:name w:val="Comment Subject Char"/>
    <w:basedOn w:val="CommentTextChar"/>
    <w:link w:val="CommentSubject"/>
    <w:uiPriority w:val="99"/>
    <w:semiHidden/>
    <w:rsid w:val="00721929"/>
    <w:rPr>
      <w:b/>
      <w:bCs/>
      <w:sz w:val="20"/>
      <w:szCs w:val="20"/>
    </w:rPr>
  </w:style>
  <w:style w:type="paragraph" w:styleId="NoSpacing">
    <w:name w:val="No Spacing"/>
    <w:uiPriority w:val="1"/>
    <w:qFormat/>
    <w:rsid w:val="00193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9002">
      <w:bodyDiv w:val="1"/>
      <w:marLeft w:val="0"/>
      <w:marRight w:val="0"/>
      <w:marTop w:val="0"/>
      <w:marBottom w:val="0"/>
      <w:divBdr>
        <w:top w:val="none" w:sz="0" w:space="0" w:color="auto"/>
        <w:left w:val="none" w:sz="0" w:space="0" w:color="auto"/>
        <w:bottom w:val="none" w:sz="0" w:space="0" w:color="auto"/>
        <w:right w:val="none" w:sz="0" w:space="0" w:color="auto"/>
      </w:divBdr>
    </w:div>
    <w:div w:id="214584029">
      <w:bodyDiv w:val="1"/>
      <w:marLeft w:val="0"/>
      <w:marRight w:val="0"/>
      <w:marTop w:val="0"/>
      <w:marBottom w:val="0"/>
      <w:divBdr>
        <w:top w:val="none" w:sz="0" w:space="0" w:color="auto"/>
        <w:left w:val="none" w:sz="0" w:space="0" w:color="auto"/>
        <w:bottom w:val="none" w:sz="0" w:space="0" w:color="auto"/>
        <w:right w:val="none" w:sz="0" w:space="0" w:color="auto"/>
      </w:divBdr>
    </w:div>
    <w:div w:id="482963300">
      <w:bodyDiv w:val="1"/>
      <w:marLeft w:val="0"/>
      <w:marRight w:val="0"/>
      <w:marTop w:val="0"/>
      <w:marBottom w:val="0"/>
      <w:divBdr>
        <w:top w:val="none" w:sz="0" w:space="0" w:color="auto"/>
        <w:left w:val="none" w:sz="0" w:space="0" w:color="auto"/>
        <w:bottom w:val="none" w:sz="0" w:space="0" w:color="auto"/>
        <w:right w:val="none" w:sz="0" w:space="0" w:color="auto"/>
      </w:divBdr>
    </w:div>
    <w:div w:id="1659462440">
      <w:bodyDiv w:val="1"/>
      <w:marLeft w:val="0"/>
      <w:marRight w:val="0"/>
      <w:marTop w:val="0"/>
      <w:marBottom w:val="0"/>
      <w:divBdr>
        <w:top w:val="none" w:sz="0" w:space="0" w:color="auto"/>
        <w:left w:val="none" w:sz="0" w:space="0" w:color="auto"/>
        <w:bottom w:val="none" w:sz="0" w:space="0" w:color="auto"/>
        <w:right w:val="none" w:sz="0" w:space="0" w:color="auto"/>
      </w:divBdr>
    </w:div>
    <w:div w:id="20810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f094dc10-e09c-4641-adc2-417d26117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F22B-3BC2-493E-A360-79F8475B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hubbardj</dc:creator>
  <cp:keywords/>
  <dc:description/>
  <cp:lastModifiedBy>BOND, Karin (CITY HOSPITALS INDEPENDENT COMMERCIAL ENTERPRISES LIMITED)</cp:lastModifiedBy>
  <cp:revision>2</cp:revision>
  <cp:lastPrinted>2024-01-08T13:21:00Z</cp:lastPrinted>
  <dcterms:created xsi:type="dcterms:W3CDTF">2025-03-12T15:36:00Z</dcterms:created>
  <dcterms:modified xsi:type="dcterms:W3CDTF">2025-03-12T15:36:00Z</dcterms:modified>
</cp:coreProperties>
</file>